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B3" w:rsidRPr="00EA76B3" w:rsidRDefault="00EA76B3" w:rsidP="00EA76B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Ogłoszenie nr 609407-N-2020 z dnia 2020-11-12 r.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Default="00EA76B3" w:rsidP="00EA76B3">
      <w:pPr>
        <w:spacing w:after="0" w:line="277" w:lineRule="atLeast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Burmistrz Miasta Turku: PROWADZENIE W 2021 ROKU SCHRONISKA DLA BEZDOMNYCH ZWIERZĄT Z TERENU GMINY MIEJSKIEJ TUREK</w:t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br/>
        <w:t xml:space="preserve">OGŁOSZENIE O ZAMÓWIENIU </w:t>
      </w: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>–</w:t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 Usługi</w:t>
      </w:r>
    </w:p>
    <w:p w:rsidR="00EA76B3" w:rsidRPr="00EA76B3" w:rsidRDefault="00EA76B3" w:rsidP="00EA76B3">
      <w:pPr>
        <w:spacing w:after="0" w:line="277" w:lineRule="atLeast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Zamieszczanie ogłoszenia: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 Zamieszczanie obowiązkowe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Ogłoszenie dotyczy: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 Zamówienia publicznego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Nazwa projektu lub programu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SEKCJA I: ZAMAWIAJĄCY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Postępowanie przeprowadza centralny zamawiający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zamówień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publicznych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dodatkowe: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I. 1) NAZWA I ADRES: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Burmistrz Miasta Turku, krajowy numer identyfikacyjny 52658700000000, ul. ul. Kaliska  59 , 62-700  Turek, woj. wielkopolskie, państwo Polska, tel. 063 289 61 00, e-mail zamowienia@miastoturek.pl, faks 063 289 61 11.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Adres strony internetowej (URL): http://www.bip.miastoturek.pl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Adres profilu nabywcy: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lastRenderedPageBreak/>
        <w:t>Adres strony internetowej pod którym można uzyskać dostęp do narzędzi i urządzeń lub formatów plików, które nie są ogólnie dostępne http://www.bip.miastoturek.pl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I. 2) RODZAJ ZAMAWIAJĄCEGO: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Administracja samorządowa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I.3) WSPÓLNE UDZIELANIE ZAMÓWIENIA </w:t>
      </w:r>
      <w:r w:rsidRPr="00EA76B3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(jeżeli dotyczy)</w:t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I.4) KOMUNIKACJA: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Elektronicznie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adres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Inny sposób: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Tak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Inny sposób: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Oferty składa się pod rygorem nieważności w formie pisemnej – za pośrednictwem operatora pocztowego w rozumieniu ustawy z dnia 23 listopada 2012 r. - Prawo pocztowe, osobiście lub za pośrednictwem posłańca (kuriera).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Adres: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Urząd Miejski w Turku, ul. Kaliska 59, 62-700 Turek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lastRenderedPageBreak/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II.1) Nazwa nadana zamówieniu przez zamawiającego: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PROWADZENIE W 2021 ROKU SCHRONISKA DLA BEZDOMNYCH ZWIERZĄT Z TERENU GMINY MIEJSKIEJ TUREK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Numer referencyjny: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GIM .6140.14.2020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EA76B3" w:rsidRPr="00EA76B3" w:rsidRDefault="00EA76B3" w:rsidP="00EA76B3">
      <w:pPr>
        <w:spacing w:after="0" w:line="277" w:lineRule="atLeast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II.2) Rodzaj zamówienia: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Usługi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II.3) Informacja o możliwości składania ofert częściowych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Zamówienie podzielone jest na części: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II.4) Krótki opis przedmiotu zamówienia </w:t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Przedmiot zamówienia obejmuje do wykonania następujący zakres rzeczowy usługi: 1) wyłapywanie zwierząt zagubionych, zabłąkanych i porzuconych lub z innych przyczyn bezdomnych z terenu Gminy Miejskiej Turek oraz ich transport do Schroniska dla Bezdomnych Zwierząt; 2) utrzymywanie zwierząt w Schronisku dla Bezdomnych Zwierząt; 3) niesienie pomocy zwierzętom poszkodowanym w zdarzeniach drogowych, które miały miejsce w granicach administracyjnych Gminy Miejskiej Turek; 4) prowadzenie wyłapywania wolno żyjących kotek w celu przeprowadzenia ich sterylizacji. Szczegółowy opis rzeczowy usługi stanowiącej przedmiot zamówienia publicznego, określony został we wzorze umowy stanowiącym Załącznik nr 3 do SIWZ.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II.5) Główny kod CPV: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98380000-0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</w:tblGrid>
      <w:tr w:rsidR="00EA76B3" w:rsidRPr="00EA76B3" w:rsidTr="00EA7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Kod CPV</w:t>
            </w:r>
          </w:p>
        </w:tc>
      </w:tr>
      <w:tr w:rsidR="00EA76B3" w:rsidRPr="00EA76B3" w:rsidTr="00EA7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85200000-1</w:t>
            </w:r>
          </w:p>
        </w:tc>
      </w:tr>
    </w:tbl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II.6) Całkowita wartość zamówienia </w:t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(jeżeli zamawiający podaje informacje o wartości zamówienia)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Wartość bez VAT: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Waluta: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PLN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(w przypadku umów ramowych lub dynamicznego systemu </w:t>
      </w:r>
      <w:proofErr w:type="spellStart"/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 – szacunkowa całkowita maksymalna wartość w całym okresie obowiązywania umowy ramowej lub dynamicznego systemu </w:t>
      </w:r>
      <w:proofErr w:type="spellStart"/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)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II.7) Czy przewiduje się udzielenie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zamówień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, o których mowa w art. 67 ust. 1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6 lub w art. 134 ust. 6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3 ustawy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>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miesiącach:   </w:t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 lub </w:t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dniach: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lub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data rozpoczęcia: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 </w:t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 lub </w:t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zakończenia: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2021-12-31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lastRenderedPageBreak/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II.9) Informacje dodatkowe: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III.1) WARUNKI UDZIAŁU W POSTĘPOWANIU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Określenie warunków: Wykonawca musi spełniać warunki udziału w postępowaniu dotyczące uprawnień do prowadzenia działalności zawodowej stanowiącej przedmiot zamówienia, w związku z tym wykonawca musi wykazać się posiadaniem następujących aktualnych zezwoleń, wydanych w trybie art. 7 ust. 1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3 i 4 ustawy z dnia 13 września 1996 r. o utrzymaniu czystości i porządku w gminach (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t.j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. Dz. U. z 2016 r. poz. 250 ze zm.), to jest: 1) zezwoleniem wydanym w trybie art. 7 ust. 1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4 ww. ustawy, na prowadzenie przez przedsiębiorcę działalności w zakresie prowadzenia schronisk dla bezdomnych zwierząt; 2) zezwoleniem wydanym przez Burmistrza Miasta Turku w trybie art. 7 ust. 1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3 ww. ustawy, na prowadzenie przez przedsiębiorcę działalności w zakresie ochrony przed bezdomnymi zwierzętami. Ocena spełniania przez wykonawcę warunku w zakresie posiadania uprawnień do prowadzenia działalności zawodowej w zakresie stanowiącym przedmiot zamówienia będzie dokonywana w oparciu o wstępne oświadczenie wykonawcy stanowiące Załącznik nr 1B do SIWZ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III.1.2) Sytuacja finansowa lub ekonomiczna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Określenie warunków: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III.1.3) Zdolność techniczna lub zawodowa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Określenie warunków: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III.2) PODSTAWY WYKLUCZENIA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> Nie Zamawiający przewiduje następujące faku</w:t>
      </w:r>
      <w:r>
        <w:rPr>
          <w:rFonts w:ascii="Arial Narrow" w:eastAsia="Times New Roman" w:hAnsi="Arial Narrow" w:cs="Times New Roman"/>
          <w:color w:val="000000"/>
          <w:lang w:eastAsia="pl-PL"/>
        </w:rPr>
        <w:t>ltatywne podstawy wykluczenia: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Tak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o spełnianiu kryteriów selekcji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Nie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Nie dotyczy - na podstawie art. 26 ust. 2 ustawy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zamawiający dokona potwierdzenia wyłącznie na podstawie oświadczeń wstępnych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III.5.1) W ZAKRESIE SPEŁNIANIA WARUNKÓW UDZIAŁU W POSTĘPOWANIU: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Nie dotyczy - na podstawie art. 26 ust. 2 ustawy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zamawiający dokona potwierdzenia wyłącznie na podstawie oświadczeń wstępnych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lastRenderedPageBreak/>
        <w:t>III.5.2) W ZAKRESIE KRYTERIÓW SELEKCJI: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III.3) - III.6)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Wykonawcy, w terminie 3 dni od zamieszczenia przez Zamawiającego na stronie internetowej informacji, o której mowa w art. 86 ust. 5 Ustawy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, bez odrębnego wezwania przekazują Zamawiającemu swoje oświadczenia o przynależności lub braku przynależności do tej samej grupy kapitałowej ( według wzoru stanowiącego Załącznik nr 2 do SIWZ), o której mowa w art. 24 ust. 1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pkt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23 Ustawy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>. W przypadku przynależności do tej samej grupy kapitałowej wykonawca może złożyć wraz z oświadczeniem dokumenty bądź inne informacje potwierdzające, że powiązania z innym wykonawcą nie prowadzą do zakłócenia konkurencji w postępowaniu o udzielenie zamówienia;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SEKCJA IV: PROCEDURA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IV.1) OPIS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IV.1.1) Tryb udzielenia zamówienia: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Przetarg nieograniczony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IV.1.2) Zamawiający żąda wniesienia wadium: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Tak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Informacja na temat wadium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Wadium może być wnoszone w jednej lub kilku następujących formach: a) pieniądzu: przelewem na rachunek bankowy Zamawiającego w Santander Bank Polska, nr rachunku: 68 1090 1229 0000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0000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2201 3982 z opisem: „Wadium do przetargu nieograniczonego: numer referencyjny GIM.6140.14.2020”. Decydującą dla uznania za zachowany terminu wniesienia wadium w formie pieniężnej na rachunek bankowy jest data uznania rachunku zamawiającego kwotą zadysponowaną przez wykonawcę na podstawie polecenia przelewu.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pkt. 2 ustawy z dnia 9 listopada 2000 r. o utworzeniu Polskiej Agencji Rozwoju Przedsiębiorczości.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Należy podać informacje na temat udzielania zaliczek: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IV.1.5.) Wymaga się złożenia oferty wariantowej: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Dopuszcza się złożenie oferty wariantowej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lastRenderedPageBreak/>
        <w:t>Liczba wykonawców 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Przewidywana minimalna liczba wykonawców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Maksymalna liczba wykonawców 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Kryteria selekcji wykonawców: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IV.1.7) Informacje na temat umowy ramowej lub dynamicznego systemu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Umowa ramowa będzie zawarta: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Czy przewiduje się ograniczenie liczby uczestników umowy ramowej: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Przewidziana maksymalna liczba uczestników umowy ramowej: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Zamówienie obejmuje ustanowienie dynamicznego systemu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>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Adres strony internetowej, na której będą zamieszczone dodatkowe informacje dotyczące dynamicznego systemu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>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W ramach umowy ramowej/dynamicznego systemu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 xml:space="preserve"> dopuszcza się złożenie ofert w formie katalogów elektronicznych: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Przewiduje się pobranie ze złożonych katalogów elektronicznych informacji potrzebnych do sporządzenia ofert w ramach umowy ramowej/dynamicznego systemu </w:t>
      </w:r>
      <w:proofErr w:type="spellStart"/>
      <w:r w:rsidRPr="00EA76B3">
        <w:rPr>
          <w:rFonts w:ascii="Arial Narrow" w:eastAsia="Times New Roman" w:hAnsi="Arial Narrow" w:cs="Times New Roman"/>
          <w:color w:val="000000"/>
          <w:lang w:eastAsia="pl-PL"/>
        </w:rPr>
        <w:t>zakupów</w:t>
      </w:r>
      <w:proofErr w:type="spellEnd"/>
      <w:r w:rsidRPr="00EA76B3">
        <w:rPr>
          <w:rFonts w:ascii="Arial Narrow" w:eastAsia="Times New Roman" w:hAnsi="Arial Narrow" w:cs="Times New Roman"/>
          <w:color w:val="000000"/>
          <w:lang w:eastAsia="pl-PL"/>
        </w:rPr>
        <w:t>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IV.1.8) Aukcja elektroniczna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Przewidziane jest przeprowadzenie aukcji elektronicznej </w:t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Należy podać adres strony internetowej, na której aukcja będzie prowadzona: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dotyczące przebiegu aukcji elektronicznej: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Wymagania dotyczące rejestracji i identyfikacji wykonawców w aukcji elektronicznej: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o liczbie etapów aukcji elektronicznej i czasie ich trwania: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Czas trwania: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lastRenderedPageBreak/>
        <w:t>Warunki zamknięcia aukcji elektronicznej: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IV.2) KRYTERIA OCENY OFERT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IV.2.1) Kryteria oceny ofert: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4"/>
        <w:gridCol w:w="863"/>
      </w:tblGrid>
      <w:tr w:rsidR="00EA76B3" w:rsidRPr="00EA76B3" w:rsidTr="00EA7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Znaczenie</w:t>
            </w:r>
          </w:p>
        </w:tc>
      </w:tr>
      <w:tr w:rsidR="00EA76B3" w:rsidRPr="00EA76B3" w:rsidTr="00EA7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60,00</w:t>
            </w:r>
          </w:p>
        </w:tc>
      </w:tr>
      <w:tr w:rsidR="00EA76B3" w:rsidRPr="00EA76B3" w:rsidTr="00EA7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WSKAŹNIK ADOPCJI PSÓW I KOTÓW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25,00</w:t>
            </w:r>
          </w:p>
        </w:tc>
      </w:tr>
      <w:tr w:rsidR="00EA76B3" w:rsidRPr="00EA76B3" w:rsidTr="00EA7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CZAS PRZYSTĄPIENIA DO WYŁAPANIA BEZDOMNEGO ZWIERZĘCIA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EA76B3">
              <w:rPr>
                <w:rFonts w:ascii="Arial Narrow" w:eastAsia="Times New Roman" w:hAnsi="Arial Narrow" w:cs="Times New Roman"/>
                <w:lang w:eastAsia="pl-PL"/>
              </w:rPr>
              <w:t>15,00</w:t>
            </w:r>
          </w:p>
        </w:tc>
      </w:tr>
    </w:tbl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Pzp</w:t>
      </w:r>
      <w:proofErr w:type="spellEnd"/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(przetarg nieograniczony)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Tak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IV.3.1) Informacje na temat negocjacji z ogłoszeniem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Minimalne wymagania, które muszą spełniać wszystkie oferty: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Przewidziany jest podział negocjacji na etapy w celu ograniczenia liczby ofert: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Należy podać informacje na temat etapów negocjacji (w tym liczbę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etapów):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</w:r>
      <w:r>
        <w:rPr>
          <w:rFonts w:ascii="Arial Narrow" w:eastAsia="Times New Roman" w:hAnsi="Arial Narrow" w:cs="Times New Roman"/>
          <w:color w:val="000000"/>
          <w:lang w:eastAsia="pl-PL"/>
        </w:rPr>
        <w:br/>
        <w:t>Informacje dodatkowe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IV.3.2) Informacje na temat dialogu konkurencyjnego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Opis potrzeb i wymagań zamawiającego lub informacja o sposobie uzyskania tego opisu: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Wstępny harmonogram postępowania: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Podział dialogu na etapy w celu ograniczenia liczby rozwiązań: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Należy podać infor</w:t>
      </w:r>
      <w:r>
        <w:rPr>
          <w:rFonts w:ascii="Arial Narrow" w:eastAsia="Times New Roman" w:hAnsi="Arial Narrow" w:cs="Times New Roman"/>
          <w:color w:val="000000"/>
          <w:lang w:eastAsia="pl-PL"/>
        </w:rPr>
        <w:t>macje na temat etapów dialogu:</w:t>
      </w:r>
      <w:r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IV.3.3) Informacje na temat partnerstwa innowacyjnego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IV.4) Licytacja elektroniczna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lastRenderedPageBreak/>
        <w:t>Sposób postępowania w toku licytacji elektronicznej, w tym określenie minimalnych wysokości postąpień: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Informacje o liczbie etapów licytacji elektronicznej i czasie ich trwania: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Czas trwania: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Termin składania wniosków o dopuszczenie do udziału w licytacji elektronicznej: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Data: godzina: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Termin otwarcia licytacji elektronicznej: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t>Termin i warunki zamknięcia licytacji elektronicznej: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Wymagania dotyczące zabezpieczenia należytego wykonania umowy: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Informacje dodatkowe:</w:t>
      </w:r>
    </w:p>
    <w:p w:rsidR="00EA76B3" w:rsidRPr="00EA76B3" w:rsidRDefault="00EA76B3" w:rsidP="00EA76B3">
      <w:pPr>
        <w:spacing w:after="0" w:line="277" w:lineRule="atLeast"/>
        <w:rPr>
          <w:rFonts w:ascii="Arial Narrow" w:eastAsia="Times New Roman" w:hAnsi="Arial Narrow" w:cs="Times New Roman"/>
          <w:color w:val="000000"/>
          <w:lang w:eastAsia="pl-PL"/>
        </w:rPr>
      </w:pP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IV.5) ZMIANA UMOWY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 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Należy wskazać zakres, charakter zmian oraz warunki wprowadzenia zmian: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IV.6) INFORMACJE ADMINISTRACYJNE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IV.6.1) Sposób udostępniania informacji o charakterze poufnym </w:t>
      </w:r>
      <w:r w:rsidRPr="00EA76B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(jeżeli dotyczy):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Środki służące ochronie informacji o charakterze poufnym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Data: 2020-11-23, godzina: 11:00,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Wskazać powody: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  <w:t>&gt;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IV.6.3) Termin związania ofertą: 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do: okres w dniach: 30 (od ostatecznego terminu składania ofert)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t> Nie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A76B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IV.6.5) Informacje dodatkowe:</w:t>
      </w: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:rsidR="00EA76B3" w:rsidRPr="00EA76B3" w:rsidRDefault="00EA76B3" w:rsidP="00EA76B3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A76B3">
        <w:rPr>
          <w:rFonts w:ascii="Arial Narrow" w:eastAsia="Times New Roman" w:hAnsi="Arial Narrow" w:cs="Times New Roman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A76B3" w:rsidRPr="00EA76B3" w:rsidTr="00EA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6B3" w:rsidRPr="00EA76B3" w:rsidRDefault="00EA76B3" w:rsidP="00EA76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715C2E" w:rsidRPr="00EA76B3" w:rsidRDefault="00715C2E">
      <w:pPr>
        <w:rPr>
          <w:rFonts w:ascii="Arial Narrow" w:hAnsi="Arial Narrow"/>
        </w:rPr>
      </w:pPr>
    </w:p>
    <w:sectPr w:rsidR="00715C2E" w:rsidRPr="00EA76B3" w:rsidSect="0071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76B3"/>
    <w:rsid w:val="00715C2E"/>
    <w:rsid w:val="00EA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2661</Words>
  <Characters>15968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Grzelka</dc:creator>
  <cp:lastModifiedBy>Krzysztof Grzelka</cp:lastModifiedBy>
  <cp:revision>1</cp:revision>
  <dcterms:created xsi:type="dcterms:W3CDTF">2020-11-12T10:50:00Z</dcterms:created>
  <dcterms:modified xsi:type="dcterms:W3CDTF">2020-11-12T10:54:00Z</dcterms:modified>
</cp:coreProperties>
</file>